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14" w:rsidRPr="00C80614" w:rsidRDefault="00C80614" w:rsidP="00C80614">
      <w:r w:rsidRPr="00C80614">
        <w:t xml:space="preserve"> </w:t>
      </w:r>
      <w:proofErr w:type="spellStart"/>
      <w:r w:rsidRPr="00C80614">
        <w:rPr>
          <w:b/>
          <w:bCs/>
          <w:sz w:val="40"/>
          <w:szCs w:val="40"/>
        </w:rPr>
        <w:t>Ipé</w:t>
      </w:r>
      <w:proofErr w:type="spellEnd"/>
      <w:r w:rsidRPr="00C8061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C80614">
        <w:t xml:space="preserve">Stand: 01.01.2018 </w:t>
      </w:r>
    </w:p>
    <w:p w:rsidR="00C80614" w:rsidRPr="00EE798A" w:rsidRDefault="00C80614" w:rsidP="00C80614">
      <w:pPr>
        <w:rPr>
          <w:sz w:val="28"/>
          <w:szCs w:val="28"/>
        </w:rPr>
      </w:pPr>
      <w:r w:rsidRPr="00EE798A">
        <w:rPr>
          <w:b/>
          <w:bCs/>
          <w:sz w:val="28"/>
          <w:szCs w:val="28"/>
        </w:rPr>
        <w:t xml:space="preserve">Eigenschaften und Wissenswertes: </w:t>
      </w:r>
    </w:p>
    <w:p w:rsidR="00C80614" w:rsidRPr="00C80614" w:rsidRDefault="00C80614" w:rsidP="00C80614">
      <w:proofErr w:type="spellStart"/>
      <w:r w:rsidRPr="00C80614">
        <w:t>Ipé</w:t>
      </w:r>
      <w:proofErr w:type="spellEnd"/>
      <w:r w:rsidRPr="00C80614">
        <w:t xml:space="preserve"> (oder </w:t>
      </w:r>
      <w:proofErr w:type="spellStart"/>
      <w:r w:rsidRPr="00C80614">
        <w:t>Lapacho</w:t>
      </w:r>
      <w:proofErr w:type="spellEnd"/>
      <w:r w:rsidRPr="00C80614">
        <w:t xml:space="preserve"> </w:t>
      </w:r>
      <w:proofErr w:type="spellStart"/>
      <w:r w:rsidRPr="00C80614">
        <w:t>Groenhart</w:t>
      </w:r>
      <w:proofErr w:type="spellEnd"/>
      <w:r w:rsidRPr="00C80614">
        <w:t xml:space="preserve">), botanisch </w:t>
      </w:r>
      <w:proofErr w:type="spellStart"/>
      <w:r w:rsidRPr="00C80614">
        <w:t>Tabebuia</w:t>
      </w:r>
      <w:proofErr w:type="spellEnd"/>
      <w:r w:rsidRPr="00C80614">
        <w:t xml:space="preserve"> </w:t>
      </w:r>
      <w:proofErr w:type="spellStart"/>
      <w:r w:rsidRPr="00C80614">
        <w:t>serratifolia</w:t>
      </w:r>
      <w:proofErr w:type="spellEnd"/>
      <w:r w:rsidRPr="00C80614">
        <w:t xml:space="preserve"> (EN 13556 = </w:t>
      </w:r>
      <w:proofErr w:type="spellStart"/>
      <w:r w:rsidRPr="00C80614">
        <w:t>TBXX</w:t>
      </w:r>
      <w:proofErr w:type="spellEnd"/>
      <w:r w:rsidRPr="00C80614">
        <w:t xml:space="preserve">), ist ein </w:t>
      </w:r>
      <w:r w:rsidRPr="00C80614">
        <w:rPr>
          <w:b/>
          <w:bCs/>
        </w:rPr>
        <w:t xml:space="preserve">sehr haltbares Holz (Dauerhaftigkeitsklasse 1-2) </w:t>
      </w:r>
      <w:r w:rsidRPr="00C80614">
        <w:t xml:space="preserve">aus Südamerika und gehört zu den formstabilsten und haltbarsten Gartenhölzern. </w:t>
      </w:r>
      <w:proofErr w:type="spellStart"/>
      <w:r w:rsidRPr="00C80614">
        <w:t>Ipé</w:t>
      </w:r>
      <w:proofErr w:type="spellEnd"/>
      <w:r w:rsidRPr="00C80614">
        <w:t xml:space="preserve"> ist anfangs hellbraun bis grün-gelblich und dunkelt schnell unter </w:t>
      </w:r>
      <w:proofErr w:type="spellStart"/>
      <w:r w:rsidRPr="00C80614">
        <w:t>UV</w:t>
      </w:r>
      <w:proofErr w:type="spellEnd"/>
      <w:r w:rsidRPr="00C80614">
        <w:t xml:space="preserve">-Einfluss Richtung braun-oliv. Als typische Herkunftsländer sind vor allem Brasilien, Bolivien und Peru zu nennen. Wir importieren </w:t>
      </w:r>
      <w:proofErr w:type="spellStart"/>
      <w:r w:rsidRPr="00C80614">
        <w:t>Ipé</w:t>
      </w:r>
      <w:proofErr w:type="spellEnd"/>
      <w:r w:rsidRPr="00C80614">
        <w:t xml:space="preserve"> generell </w:t>
      </w:r>
      <w:r w:rsidRPr="00C80614">
        <w:rPr>
          <w:b/>
          <w:bCs/>
        </w:rPr>
        <w:t>unter Beachtung der EU-Holzhandelsverordnung 995/2010</w:t>
      </w:r>
      <w:r w:rsidRPr="00C80614">
        <w:t xml:space="preserve">, die für einen transparenten Legalitätsnachweis sorgt. Import meist als AD B-Fix-Diele (unsichtbare Befestigung, siehe gesondertes </w:t>
      </w:r>
      <w:proofErr w:type="spellStart"/>
      <w:r w:rsidRPr="00C80614">
        <w:t>PDF</w:t>
      </w:r>
      <w:proofErr w:type="spellEnd"/>
      <w:r w:rsidRPr="00C80614">
        <w:t xml:space="preserve">). </w:t>
      </w:r>
    </w:p>
    <w:p w:rsidR="00C80614" w:rsidRPr="00EE798A" w:rsidRDefault="00C80614" w:rsidP="00C80614">
      <w:pPr>
        <w:rPr>
          <w:sz w:val="28"/>
          <w:szCs w:val="28"/>
        </w:rPr>
      </w:pPr>
      <w:r w:rsidRPr="00EE798A">
        <w:rPr>
          <w:b/>
          <w:bCs/>
          <w:sz w:val="28"/>
          <w:szCs w:val="28"/>
        </w:rPr>
        <w:t xml:space="preserve">Montage: </w:t>
      </w:r>
    </w:p>
    <w:p w:rsidR="00C80614" w:rsidRPr="00C80614" w:rsidRDefault="00C80614" w:rsidP="00C80614">
      <w:pPr>
        <w:ind w:right="-256"/>
      </w:pPr>
      <w:r w:rsidRPr="00C80614">
        <w:t> Vorbereitung Untergrund + Ausrichtung und Abstände der Unterkonstruktion (</w:t>
      </w:r>
      <w:proofErr w:type="spellStart"/>
      <w:r w:rsidRPr="00C80614">
        <w:t>UK</w:t>
      </w:r>
      <w:proofErr w:type="spellEnd"/>
      <w:r w:rsidRPr="00C80614">
        <w:t xml:space="preserve">) siehe </w:t>
      </w:r>
      <w:proofErr w:type="spellStart"/>
      <w:r w:rsidRPr="00C80614">
        <w:t>PDF</w:t>
      </w:r>
      <w:proofErr w:type="spellEnd"/>
      <w:r w:rsidRPr="00C80614">
        <w:t xml:space="preserve"> Terrassenunterkonstruktion“. </w:t>
      </w:r>
    </w:p>
    <w:p w:rsidR="00C80614" w:rsidRPr="00C80614" w:rsidRDefault="00C80614" w:rsidP="00C80614">
      <w:r w:rsidRPr="00C80614">
        <w:t xml:space="preserve"> Durchlüftung: Seitliche Ränder nicht schließen, mindestens 2 cm zu umliegenden Bauteilen „Luft lassen“. </w:t>
      </w:r>
    </w:p>
    <w:p w:rsidR="00C80614" w:rsidRPr="00C80614" w:rsidRDefault="00C80614" w:rsidP="00C80614">
      <w:r w:rsidRPr="00C80614">
        <w:t xml:space="preserve"> Wasser muss unter der </w:t>
      </w:r>
      <w:proofErr w:type="spellStart"/>
      <w:r w:rsidRPr="00C80614">
        <w:t>UK</w:t>
      </w:r>
      <w:proofErr w:type="spellEnd"/>
      <w:r w:rsidRPr="00C80614">
        <w:t xml:space="preserve"> ablaufen können (Gummipads/Bodenträger/Gartenplatten). </w:t>
      </w:r>
    </w:p>
    <w:p w:rsidR="00C80614" w:rsidRPr="00C80614" w:rsidRDefault="00C80614" w:rsidP="00C80614">
      <w:r w:rsidRPr="00C80614">
        <w:t xml:space="preserve"> Mindestabstand der Dielen zum Untergrund </w:t>
      </w:r>
      <w:r w:rsidRPr="00C80614">
        <w:rPr>
          <w:b/>
        </w:rPr>
        <w:t>4 cm</w:t>
      </w:r>
      <w:r w:rsidRPr="00C80614">
        <w:t xml:space="preserve">, bei schlecht trocknenden Böden </w:t>
      </w:r>
      <w:r w:rsidRPr="00C80614">
        <w:rPr>
          <w:b/>
        </w:rPr>
        <w:t>10 cm.</w:t>
      </w:r>
      <w:r w:rsidRPr="00C80614">
        <w:t xml:space="preserve"> </w:t>
      </w:r>
    </w:p>
    <w:p w:rsidR="00C80614" w:rsidRPr="00C80614" w:rsidRDefault="00C80614" w:rsidP="00C80614">
      <w:r w:rsidRPr="00C80614">
        <w:t xml:space="preserve"> Die </w:t>
      </w:r>
      <w:proofErr w:type="spellStart"/>
      <w:r w:rsidRPr="00C80614">
        <w:t>UK</w:t>
      </w:r>
      <w:proofErr w:type="spellEnd"/>
      <w:r w:rsidRPr="00C80614">
        <w:t xml:space="preserve"> ist so zu planen, dass später </w:t>
      </w:r>
      <w:proofErr w:type="gramStart"/>
      <w:r w:rsidRPr="00C80614">
        <w:t xml:space="preserve">ein </w:t>
      </w:r>
      <w:r w:rsidRPr="00C80614">
        <w:rPr>
          <w:b/>
        </w:rPr>
        <w:t>2</w:t>
      </w:r>
      <w:proofErr w:type="gramEnd"/>
      <w:r w:rsidRPr="00C80614">
        <w:rPr>
          <w:b/>
        </w:rPr>
        <w:t>% Gefälle in Längsrichtung</w:t>
      </w:r>
      <w:r w:rsidRPr="00C80614">
        <w:t xml:space="preserve"> der Dielen sichergestellt ist. </w:t>
      </w:r>
    </w:p>
    <w:p w:rsidR="00C80614" w:rsidRPr="00C80614" w:rsidRDefault="00C80614" w:rsidP="00C80614">
      <w:r w:rsidRPr="00C80614">
        <w:t xml:space="preserve"> Fugen seitlich und an den Stößen sind mit </w:t>
      </w:r>
      <w:r w:rsidRPr="00C80614">
        <w:rPr>
          <w:b/>
        </w:rPr>
        <w:t>3 mm</w:t>
      </w:r>
      <w:r w:rsidRPr="00C80614">
        <w:t xml:space="preserve"> einzuhalten. Bei bereits nachgetrockneter Ware mehr (Differenz </w:t>
      </w:r>
      <w:proofErr w:type="spellStart"/>
      <w:r w:rsidRPr="00C80614">
        <w:t>Hobelmaß</w:t>
      </w:r>
      <w:proofErr w:type="spellEnd"/>
      <w:r w:rsidRPr="00C80614">
        <w:t xml:space="preserve"> + 3 mm = Fugenabstand. Beispiel 145 mm Hobelbreite - 140 mm Lieferbreite + 3 mm Basisfuge = 8 mm Fugenabstand. Brettmitte messen). </w:t>
      </w:r>
    </w:p>
    <w:p w:rsidR="00C80614" w:rsidRPr="00C80614" w:rsidRDefault="00C80614" w:rsidP="00C80614">
      <w:r w:rsidRPr="00C80614">
        <w:t xml:space="preserve"> </w:t>
      </w:r>
      <w:r w:rsidRPr="00C80614">
        <w:rPr>
          <w:b/>
        </w:rPr>
        <w:t>B-Fix-Clipdielen</w:t>
      </w:r>
      <w:r w:rsidRPr="00C80614">
        <w:t xml:space="preserve"> können „unsichtbar“ ohne </w:t>
      </w:r>
      <w:proofErr w:type="spellStart"/>
      <w:r w:rsidRPr="00C80614">
        <w:t>Durchschraubung</w:t>
      </w:r>
      <w:proofErr w:type="spellEnd"/>
      <w:r w:rsidRPr="00C80614">
        <w:t xml:space="preserve"> befestigt werden (s. </w:t>
      </w:r>
      <w:proofErr w:type="spellStart"/>
      <w:r w:rsidRPr="00C80614">
        <w:t>PDF</w:t>
      </w:r>
      <w:proofErr w:type="spellEnd"/>
      <w:r w:rsidRPr="00C80614">
        <w:t xml:space="preserve">). Alternativ: </w:t>
      </w:r>
    </w:p>
    <w:p w:rsidR="00C80614" w:rsidRPr="00C80614" w:rsidRDefault="00C80614" w:rsidP="00C80614">
      <w:r w:rsidRPr="00C80614">
        <w:t xml:space="preserve"> Je Verbindungspunkt 2 Edelstahlschrauben (min. 5 mm Durchmesser und ca. 2,5-fache Dielenstärke), vorgebohrt + gesenkt, 1,5-2 cm Randabstand oder vorgesehenen Schraubsteg nutzen (nicht in der Nut schrauben - Wasser staut sich). Nutzen Sie Schrauben mit </w:t>
      </w:r>
      <w:r w:rsidRPr="00C80614">
        <w:rPr>
          <w:b/>
        </w:rPr>
        <w:t>großem Kopf</w:t>
      </w:r>
      <w:r w:rsidRPr="00C80614">
        <w:t xml:space="preserve"> = weniger Schüsseln der Dielen! </w:t>
      </w:r>
    </w:p>
    <w:p w:rsidR="00C80614" w:rsidRPr="00C80614" w:rsidRDefault="00C80614" w:rsidP="00C80614">
      <w:r w:rsidRPr="00C80614">
        <w:t xml:space="preserve"> Bei Unterkonstruktion aus Aluminium benötigen Sie zusätzlich ein </w:t>
      </w:r>
      <w:r w:rsidRPr="00C80614">
        <w:rPr>
          <w:b/>
        </w:rPr>
        <w:t>Abstandsband 2</w:t>
      </w:r>
      <w:r w:rsidRPr="00C80614">
        <w:t xml:space="preserve"> (selbstklebend auf Alu </w:t>
      </w:r>
      <w:proofErr w:type="spellStart"/>
      <w:r w:rsidRPr="00C80614">
        <w:t>5x10</w:t>
      </w:r>
      <w:proofErr w:type="spellEnd"/>
      <w:r w:rsidRPr="00C80614">
        <w:t xml:space="preserve"> mm) und die passenden Schrauben mit Bohrspitze für Alu-</w:t>
      </w:r>
      <w:proofErr w:type="spellStart"/>
      <w:r w:rsidRPr="00C80614">
        <w:t>UK</w:t>
      </w:r>
      <w:proofErr w:type="spellEnd"/>
      <w:r w:rsidRPr="00C80614">
        <w:t xml:space="preserve"> (2 mm Wandstärke). </w:t>
      </w:r>
    </w:p>
    <w:p w:rsidR="00C80614" w:rsidRPr="00C80614" w:rsidRDefault="00C80614" w:rsidP="00C80614">
      <w:r w:rsidRPr="00C80614">
        <w:t xml:space="preserve"> Kopfenden ausmitteln bei Stoßverlegung (Dielen trocknen unterschiedlich schnell am Kopfende). </w:t>
      </w:r>
    </w:p>
    <w:p w:rsidR="00C80614" w:rsidRPr="00C80614" w:rsidRDefault="00C80614" w:rsidP="00C80614">
      <w:r w:rsidRPr="00C80614">
        <w:t xml:space="preserve"> </w:t>
      </w:r>
      <w:r w:rsidRPr="00C80614">
        <w:rPr>
          <w:b/>
        </w:rPr>
        <w:t>Schnittkanten immer versiegeln</w:t>
      </w:r>
      <w:r w:rsidRPr="00C80614">
        <w:t xml:space="preserve">, letzten Schraubpunkt </w:t>
      </w:r>
      <w:r w:rsidRPr="00C80614">
        <w:rPr>
          <w:b/>
        </w:rPr>
        <w:t>nicht weiter als 5 cm vom Brettende</w:t>
      </w:r>
      <w:r w:rsidRPr="00C80614">
        <w:t xml:space="preserve"> planen. </w:t>
      </w:r>
    </w:p>
    <w:p w:rsidR="00C80614" w:rsidRPr="00EE798A" w:rsidRDefault="00C80614" w:rsidP="00C80614">
      <w:pPr>
        <w:rPr>
          <w:sz w:val="28"/>
          <w:szCs w:val="28"/>
        </w:rPr>
      </w:pPr>
      <w:r w:rsidRPr="00EE798A">
        <w:rPr>
          <w:b/>
          <w:bCs/>
          <w:sz w:val="28"/>
          <w:szCs w:val="28"/>
        </w:rPr>
        <w:t xml:space="preserve">Besonderheiten: </w:t>
      </w:r>
    </w:p>
    <w:p w:rsidR="00C80614" w:rsidRPr="00C80614" w:rsidRDefault="00C80614" w:rsidP="00C80614">
      <w:r w:rsidRPr="00C80614">
        <w:t xml:space="preserve"> Verlegung ohne Gefälle: Nicht empfehlenswert, verzögerter Wasserablauf. Nachteile: Reduzierte Lebensdauer, mehr Oberflächenrisse, Reinigungsaufwand, Wasserränder und Rutschgefahr. </w:t>
      </w:r>
    </w:p>
    <w:p w:rsidR="00C80614" w:rsidRPr="00C80614" w:rsidRDefault="00C80614" w:rsidP="00C80614">
      <w:r w:rsidRPr="00C80614">
        <w:t xml:space="preserve"> Wechseldrehwuchs kommt vor, Oberflächenrisse weniger im Vergleich zu anderen Hölzern. Eventuell Schleifen partiell notwendig, um drehwüchsige Fasern auszugleichen. </w:t>
      </w:r>
    </w:p>
    <w:p w:rsidR="00C80614" w:rsidRPr="00C80614" w:rsidRDefault="00C80614" w:rsidP="00C80614">
      <w:r w:rsidRPr="00C80614">
        <w:t xml:space="preserve"> Ausbluten: </w:t>
      </w:r>
      <w:r w:rsidRPr="00C80614">
        <w:rPr>
          <w:b/>
        </w:rPr>
        <w:t xml:space="preserve">Bei </w:t>
      </w:r>
      <w:proofErr w:type="spellStart"/>
      <w:r w:rsidRPr="00C80614">
        <w:rPr>
          <w:b/>
        </w:rPr>
        <w:t>Ipé</w:t>
      </w:r>
      <w:proofErr w:type="spellEnd"/>
      <w:r w:rsidRPr="00C80614">
        <w:rPr>
          <w:b/>
        </w:rPr>
        <w:t xml:space="preserve"> gering</w:t>
      </w:r>
      <w:r w:rsidRPr="00C80614">
        <w:t xml:space="preserve"> (Auswaschung öliger Inhaltsstoffen, die schwer zu entwerfen sind). </w:t>
      </w:r>
    </w:p>
    <w:p w:rsidR="00C80614" w:rsidRPr="00C80614" w:rsidRDefault="00C80614" w:rsidP="00C80614">
      <w:r w:rsidRPr="00C80614">
        <w:t xml:space="preserve"> </w:t>
      </w:r>
      <w:proofErr w:type="spellStart"/>
      <w:r w:rsidRPr="00C80614">
        <w:t>Pinholes</w:t>
      </w:r>
      <w:proofErr w:type="spellEnd"/>
      <w:r w:rsidRPr="00C80614">
        <w:t xml:space="preserve">: Kleine Löcher eines Frischholzschädlings, stirbt ab, kein Neubefall möglich. Sehr selten! </w:t>
      </w:r>
    </w:p>
    <w:p w:rsidR="00C80614" w:rsidRPr="00C80614" w:rsidRDefault="00C80614" w:rsidP="00C80614">
      <w:r w:rsidRPr="00C80614">
        <w:t xml:space="preserve"> Risse/Verzug/aufstehende Fasern/Splitter: Natürlich bei Massivholz, aber bei </w:t>
      </w:r>
      <w:proofErr w:type="spellStart"/>
      <w:r w:rsidRPr="00C80614">
        <w:rPr>
          <w:b/>
        </w:rPr>
        <w:t>Ipé</w:t>
      </w:r>
      <w:proofErr w:type="spellEnd"/>
      <w:r w:rsidRPr="00C80614">
        <w:rPr>
          <w:b/>
        </w:rPr>
        <w:t xml:space="preserve"> äußerst selten</w:t>
      </w:r>
      <w:r w:rsidRPr="00C80614">
        <w:t xml:space="preserve">. </w:t>
      </w:r>
    </w:p>
    <w:p w:rsidR="00C80614" w:rsidRPr="00C80614" w:rsidRDefault="00C80614" w:rsidP="00C80614"/>
    <w:p w:rsidR="00C80614" w:rsidRPr="00EE798A" w:rsidRDefault="00C80614" w:rsidP="00C80614">
      <w:pPr>
        <w:rPr>
          <w:sz w:val="28"/>
          <w:szCs w:val="28"/>
        </w:rPr>
      </w:pPr>
      <w:r w:rsidRPr="00EE798A">
        <w:rPr>
          <w:b/>
          <w:bCs/>
          <w:sz w:val="28"/>
          <w:szCs w:val="28"/>
        </w:rPr>
        <w:lastRenderedPageBreak/>
        <w:t xml:space="preserve">Pflege: </w:t>
      </w:r>
    </w:p>
    <w:p w:rsidR="00C80614" w:rsidRPr="00C80614" w:rsidRDefault="00C80614" w:rsidP="00C80614">
      <w:proofErr w:type="spellStart"/>
      <w:r w:rsidRPr="00C80614">
        <w:t>Ipé</w:t>
      </w:r>
      <w:proofErr w:type="spellEnd"/>
      <w:r w:rsidRPr="00C80614">
        <w:t xml:space="preserve"> vergraut und bekommt </w:t>
      </w:r>
      <w:r w:rsidRPr="00C80614">
        <w:rPr>
          <w:b/>
        </w:rPr>
        <w:t>(wenige) Oberflächenrisse</w:t>
      </w:r>
      <w:r w:rsidRPr="00C80614">
        <w:t xml:space="preserve"> durch Witterungseinflüsse. Wir empfehlen ein </w:t>
      </w:r>
      <w:r w:rsidRPr="00C80614">
        <w:rPr>
          <w:b/>
        </w:rPr>
        <w:t>regelmäßiges Ölen der Oberfläche</w:t>
      </w:r>
      <w:r w:rsidRPr="00C80614">
        <w:t xml:space="preserve">, wodurch diese Effekte noch weiter reduziert werden. Verwenden </w:t>
      </w:r>
      <w:r w:rsidRPr="00C80614">
        <w:rPr>
          <w:b/>
        </w:rPr>
        <w:t>Sie nur pigmentierte Terrassenöle mit möglichst wenig Filmbildung</w:t>
      </w:r>
      <w:r w:rsidRPr="00C80614">
        <w:t xml:space="preserve"> (Achtung: Eignung des Öls auf dieser Holzart vorher erfragen. Die </w:t>
      </w:r>
      <w:r w:rsidRPr="00C80614">
        <w:rPr>
          <w:b/>
        </w:rPr>
        <w:t xml:space="preserve">meisten Öle funktionieren auf </w:t>
      </w:r>
      <w:proofErr w:type="spellStart"/>
      <w:r w:rsidRPr="00C80614">
        <w:rPr>
          <w:b/>
        </w:rPr>
        <w:t>Ipé</w:t>
      </w:r>
      <w:proofErr w:type="spellEnd"/>
      <w:r w:rsidRPr="00C80614">
        <w:rPr>
          <w:b/>
        </w:rPr>
        <w:t xml:space="preserve"> erst nach </w:t>
      </w:r>
      <w:proofErr w:type="spellStart"/>
      <w:r w:rsidRPr="00C80614">
        <w:rPr>
          <w:b/>
        </w:rPr>
        <w:t>Abwitterung</w:t>
      </w:r>
      <w:proofErr w:type="spellEnd"/>
      <w:r w:rsidRPr="00C80614">
        <w:rPr>
          <w:b/>
        </w:rPr>
        <w:t>).</w:t>
      </w:r>
      <w:r w:rsidRPr="00C80614">
        <w:t xml:space="preserve"> Die Pflege ist </w:t>
      </w:r>
      <w:r w:rsidRPr="009D0B09">
        <w:rPr>
          <w:b/>
        </w:rPr>
        <w:t>mindestens einmal pro Jahr notwendig</w:t>
      </w:r>
      <w:r w:rsidRPr="00C80614">
        <w:t xml:space="preserve">, je nach Lage und </w:t>
      </w:r>
      <w:proofErr w:type="spellStart"/>
      <w:r w:rsidRPr="00C80614">
        <w:t>Bewitterung</w:t>
      </w:r>
      <w:proofErr w:type="spellEnd"/>
      <w:r w:rsidRPr="00C80614">
        <w:t xml:space="preserve"> mehrmals. Nach dem Winter empfehlen wir </w:t>
      </w:r>
      <w:r w:rsidRPr="009D0B09">
        <w:rPr>
          <w:b/>
        </w:rPr>
        <w:t>Grünbelagsentferner</w:t>
      </w:r>
      <w:r w:rsidRPr="00C80614">
        <w:t xml:space="preserve"> gegen erhöhte Rutschgefahr. </w:t>
      </w:r>
      <w:r w:rsidRPr="009D0B09">
        <w:rPr>
          <w:b/>
        </w:rPr>
        <w:t>Niemals mit Hochdruckstrahler/Druckstrahler reinigen</w:t>
      </w:r>
      <w:r w:rsidRPr="00C80614">
        <w:t xml:space="preserve">. </w:t>
      </w:r>
    </w:p>
    <w:p w:rsidR="00C80614" w:rsidRDefault="00C80614" w:rsidP="00C80614">
      <w:r w:rsidRPr="00C80614">
        <w:rPr>
          <w:b/>
          <w:bCs/>
        </w:rPr>
        <w:t>ACHTUNG</w:t>
      </w:r>
      <w:r w:rsidRPr="00C80614">
        <w:t xml:space="preserve">: Wie fast alle Hölzer reagiert es auf </w:t>
      </w:r>
      <w:r w:rsidRPr="009D0B09">
        <w:rPr>
          <w:b/>
        </w:rPr>
        <w:t>Eisenkontakt mit starker Fleckenbildung</w:t>
      </w:r>
      <w:r w:rsidRPr="00C80614">
        <w:t xml:space="preserve"> (kann optisch mit Schimmel verwechselt werden): </w:t>
      </w:r>
      <w:r w:rsidRPr="009D0B09">
        <w:rPr>
          <w:b/>
        </w:rPr>
        <w:t>Nur Edelstahlschrauben u. Verbindungen einsetzen</w:t>
      </w:r>
      <w:r w:rsidRPr="00C80614">
        <w:t xml:space="preserve">, Werkzeug (Bits/Bohrfutter) vorher von </w:t>
      </w:r>
      <w:r w:rsidRPr="009D0B09">
        <w:rPr>
          <w:b/>
        </w:rPr>
        <w:t>Metallspänen reinigen</w:t>
      </w:r>
      <w:r w:rsidRPr="00C80614">
        <w:t xml:space="preserve">, Kontakt zu Rasendünger und Zement/Putz vermeiden (enthalten Eisenverbindungen). Falls „es“ doch passiert ist: Siehe Merkblatt Eisenoxidreaktion/Oxalsäure! </w:t>
      </w:r>
    </w:p>
    <w:p w:rsidR="009D0B09" w:rsidRPr="009D0B09" w:rsidRDefault="009D0B09" w:rsidP="009D0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C80614" w:rsidRPr="00C80614" w:rsidTr="008C1DA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103" w:type="dxa"/>
          </w:tcPr>
          <w:p w:rsidR="00C80614" w:rsidRPr="00EE798A" w:rsidRDefault="00C80614" w:rsidP="00C80614">
            <w:pPr>
              <w:rPr>
                <w:sz w:val="28"/>
                <w:szCs w:val="28"/>
              </w:rPr>
            </w:pPr>
            <w:r w:rsidRPr="00EE798A">
              <w:rPr>
                <w:b/>
                <w:bCs/>
                <w:sz w:val="28"/>
                <w:szCs w:val="28"/>
              </w:rPr>
              <w:t xml:space="preserve">Technische Werte: </w:t>
            </w:r>
            <w:bookmarkStart w:id="0" w:name="_GoBack"/>
            <w:bookmarkEnd w:id="0"/>
          </w:p>
          <w:p w:rsidR="00C80614" w:rsidRPr="00C80614" w:rsidRDefault="00C80614" w:rsidP="009D0B09">
            <w:pPr>
              <w:ind w:right="-339"/>
            </w:pPr>
            <w:r w:rsidRPr="00C80614">
              <w:t xml:space="preserve"> </w:t>
            </w:r>
            <w:r w:rsidRPr="002A7450">
              <w:rPr>
                <w:b/>
              </w:rPr>
              <w:t>ca. 1050 kg/cbm Gewicht</w:t>
            </w:r>
            <w:r w:rsidRPr="00C80614">
              <w:t>/Rohdichte bei 12%</w:t>
            </w:r>
            <w:r w:rsidR="009D0B09">
              <w:t xml:space="preserve"> </w:t>
            </w:r>
            <w:proofErr w:type="spellStart"/>
            <w:r w:rsidR="009D0B09">
              <w:t>r</w:t>
            </w:r>
            <w:r w:rsidRPr="00C80614">
              <w:t>Hf</w:t>
            </w:r>
            <w:proofErr w:type="spellEnd"/>
            <w:r w:rsidRPr="00C80614">
              <w:t xml:space="preserve"> </w:t>
            </w:r>
          </w:p>
          <w:p w:rsidR="00C80614" w:rsidRPr="00C80614" w:rsidRDefault="00C80614" w:rsidP="00C8061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80614" w:rsidRPr="00C80614" w:rsidRDefault="00C80614" w:rsidP="00C80614"/>
          <w:p w:rsidR="00C80614" w:rsidRPr="00C80614" w:rsidRDefault="00C80614" w:rsidP="009D0B09">
            <w:pPr>
              <w:ind w:left="548" w:right="-887"/>
            </w:pPr>
            <w:r w:rsidRPr="00C80614">
              <w:t xml:space="preserve"> </w:t>
            </w:r>
            <w:r w:rsidRPr="008C1DA2">
              <w:rPr>
                <w:b/>
              </w:rPr>
              <w:t>Druckfestigkeit</w:t>
            </w:r>
            <w:r w:rsidRPr="00C80614">
              <w:t xml:space="preserve"> ca. 95 N/</w:t>
            </w:r>
            <w:proofErr w:type="spellStart"/>
            <w:r w:rsidRPr="00C80614">
              <w:t>mm2</w:t>
            </w:r>
            <w:proofErr w:type="spellEnd"/>
            <w:r w:rsidRPr="00C80614">
              <w:t xml:space="preserve"> </w:t>
            </w:r>
            <w:proofErr w:type="spellStart"/>
            <w:r w:rsidRPr="00C80614">
              <w:t>lutro</w:t>
            </w:r>
            <w:proofErr w:type="spellEnd"/>
            <w:r w:rsidRPr="00C80614">
              <w:t xml:space="preserve"> - 12% </w:t>
            </w:r>
            <w:proofErr w:type="spellStart"/>
            <w:r w:rsidR="009D0B09">
              <w:t>rHf</w:t>
            </w:r>
            <w:proofErr w:type="spellEnd"/>
            <w:r w:rsidRPr="00C80614">
              <w:t xml:space="preserve"> </w:t>
            </w:r>
          </w:p>
          <w:p w:rsidR="00C80614" w:rsidRPr="00C80614" w:rsidRDefault="00C80614" w:rsidP="00C80614"/>
        </w:tc>
      </w:tr>
      <w:tr w:rsidR="00C80614" w:rsidRPr="00C80614" w:rsidTr="008C1DA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103" w:type="dxa"/>
          </w:tcPr>
          <w:p w:rsidR="00C80614" w:rsidRPr="00C80614" w:rsidRDefault="00C80614" w:rsidP="00C80614"/>
          <w:p w:rsidR="00C80614" w:rsidRPr="00C80614" w:rsidRDefault="00C80614" w:rsidP="00C80614">
            <w:r w:rsidRPr="00C80614">
              <w:t xml:space="preserve"> </w:t>
            </w:r>
            <w:r w:rsidRPr="002A7450">
              <w:rPr>
                <w:b/>
              </w:rPr>
              <w:t>Quellen/Schwinden</w:t>
            </w:r>
            <w:r w:rsidRPr="00C80614">
              <w:t xml:space="preserve"> ca. 3,5% tangential </w:t>
            </w:r>
          </w:p>
          <w:p w:rsidR="00C80614" w:rsidRPr="00C80614" w:rsidRDefault="00C80614" w:rsidP="00C80614"/>
        </w:tc>
        <w:tc>
          <w:tcPr>
            <w:tcW w:w="5103" w:type="dxa"/>
            <w:tcBorders>
              <w:top w:val="nil"/>
            </w:tcBorders>
          </w:tcPr>
          <w:p w:rsidR="00C80614" w:rsidRPr="00C80614" w:rsidRDefault="00C80614" w:rsidP="00C80614"/>
          <w:p w:rsidR="00C80614" w:rsidRPr="00C80614" w:rsidRDefault="00C80614" w:rsidP="008C1DA2">
            <w:pPr>
              <w:ind w:left="567"/>
            </w:pPr>
            <w:r w:rsidRPr="00C80614">
              <w:t xml:space="preserve"> </w:t>
            </w:r>
            <w:r w:rsidRPr="008C1DA2">
              <w:rPr>
                <w:b/>
              </w:rPr>
              <w:t>Biegefestigkeit</w:t>
            </w:r>
            <w:r w:rsidRPr="00C80614">
              <w:t xml:space="preserve"> ca. 180 N/</w:t>
            </w:r>
            <w:proofErr w:type="spellStart"/>
            <w:r w:rsidRPr="00C80614">
              <w:t>mm2</w:t>
            </w:r>
            <w:proofErr w:type="spellEnd"/>
            <w:r w:rsidRPr="00C80614">
              <w:t xml:space="preserve"> </w:t>
            </w:r>
            <w:proofErr w:type="spellStart"/>
            <w:r w:rsidRPr="00C80614">
              <w:t>lutro</w:t>
            </w:r>
            <w:proofErr w:type="spellEnd"/>
            <w:r w:rsidRPr="00C80614">
              <w:t xml:space="preserve"> - 12% </w:t>
            </w:r>
            <w:proofErr w:type="spellStart"/>
            <w:r w:rsidRPr="00C80614">
              <w:t>rHf</w:t>
            </w:r>
            <w:proofErr w:type="spellEnd"/>
            <w:r w:rsidRPr="00C80614">
              <w:t xml:space="preserve"> </w:t>
            </w:r>
          </w:p>
          <w:p w:rsidR="00C80614" w:rsidRPr="00C80614" w:rsidRDefault="00C80614" w:rsidP="00C80614"/>
        </w:tc>
      </w:tr>
      <w:tr w:rsidR="00C80614" w:rsidRPr="00C80614" w:rsidTr="008C1DA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103" w:type="dxa"/>
          </w:tcPr>
          <w:p w:rsidR="00C80614" w:rsidRPr="00C80614" w:rsidRDefault="00C80614" w:rsidP="00C80614"/>
          <w:p w:rsidR="00C80614" w:rsidRPr="00C80614" w:rsidRDefault="00C80614" w:rsidP="00C80614">
            <w:r w:rsidRPr="00C80614">
              <w:t xml:space="preserve"> </w:t>
            </w:r>
            <w:r w:rsidRPr="002A7450">
              <w:rPr>
                <w:b/>
              </w:rPr>
              <w:t>Quellen/Schwinden</w:t>
            </w:r>
            <w:r w:rsidRPr="00C80614">
              <w:t xml:space="preserve"> ca. 2,1% radial </w:t>
            </w:r>
          </w:p>
          <w:p w:rsidR="00C80614" w:rsidRPr="00C80614" w:rsidRDefault="00C80614" w:rsidP="00C80614"/>
        </w:tc>
        <w:tc>
          <w:tcPr>
            <w:tcW w:w="5103" w:type="dxa"/>
          </w:tcPr>
          <w:p w:rsidR="00C80614" w:rsidRPr="00C80614" w:rsidRDefault="00C80614" w:rsidP="00C80614"/>
          <w:p w:rsidR="00C80614" w:rsidRPr="00C80614" w:rsidRDefault="00C80614" w:rsidP="008C1DA2">
            <w:pPr>
              <w:ind w:left="567"/>
            </w:pPr>
            <w:r w:rsidRPr="00C80614">
              <w:t xml:space="preserve"> </w:t>
            </w:r>
            <w:proofErr w:type="spellStart"/>
            <w:r w:rsidRPr="008C1DA2">
              <w:rPr>
                <w:b/>
              </w:rPr>
              <w:t>BRINELL</w:t>
            </w:r>
            <w:proofErr w:type="spellEnd"/>
            <w:r w:rsidRPr="008C1DA2">
              <w:rPr>
                <w:b/>
              </w:rPr>
              <w:t>-Härte</w:t>
            </w:r>
            <w:r w:rsidRPr="00C80614">
              <w:t xml:space="preserve"> ca. 55 N/</w:t>
            </w:r>
            <w:proofErr w:type="spellStart"/>
            <w:r w:rsidRPr="00C80614">
              <w:t>mm2</w:t>
            </w:r>
            <w:proofErr w:type="spellEnd"/>
            <w:r w:rsidRPr="00C80614">
              <w:t xml:space="preserve">, PH-Wert ca. 2 </w:t>
            </w:r>
          </w:p>
          <w:p w:rsidR="00C80614" w:rsidRPr="00C80614" w:rsidRDefault="00C80614" w:rsidP="00C80614"/>
        </w:tc>
      </w:tr>
      <w:tr w:rsidR="00C80614" w:rsidRPr="00C80614" w:rsidTr="008C1DA2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5103" w:type="dxa"/>
          </w:tcPr>
          <w:p w:rsidR="00C80614" w:rsidRPr="00C80614" w:rsidRDefault="00C80614" w:rsidP="00C80614"/>
          <w:p w:rsidR="00C80614" w:rsidRPr="00C80614" w:rsidRDefault="00C80614" w:rsidP="00C80614">
            <w:r w:rsidRPr="00C80614">
              <w:t xml:space="preserve"> </w:t>
            </w:r>
            <w:r w:rsidRPr="008C1DA2">
              <w:rPr>
                <w:b/>
              </w:rPr>
              <w:t>Dauerhaftigkeitsklasse</w:t>
            </w:r>
            <w:r w:rsidRPr="00C80614">
              <w:t xml:space="preserve"> 1-2 (Kern), Splint geringer </w:t>
            </w:r>
          </w:p>
          <w:p w:rsidR="00C80614" w:rsidRPr="00C80614" w:rsidRDefault="00C80614" w:rsidP="00C80614"/>
        </w:tc>
        <w:tc>
          <w:tcPr>
            <w:tcW w:w="5103" w:type="dxa"/>
          </w:tcPr>
          <w:p w:rsidR="00C80614" w:rsidRPr="00C80614" w:rsidRDefault="00C80614" w:rsidP="00C80614"/>
          <w:p w:rsidR="00C80614" w:rsidRPr="00C80614" w:rsidRDefault="00C80614" w:rsidP="008C1DA2">
            <w:pPr>
              <w:ind w:left="567"/>
            </w:pPr>
            <w:r w:rsidRPr="00C80614">
              <w:t xml:space="preserve"> </w:t>
            </w:r>
            <w:r w:rsidRPr="008C1DA2">
              <w:rPr>
                <w:b/>
              </w:rPr>
              <w:t>Farbe</w:t>
            </w:r>
            <w:r w:rsidRPr="00C80614">
              <w:t xml:space="preserve">: braun bis grün-gelb, später braun-oliv </w:t>
            </w:r>
          </w:p>
          <w:p w:rsidR="00C80614" w:rsidRPr="00C80614" w:rsidRDefault="00C80614" w:rsidP="00C80614"/>
        </w:tc>
      </w:tr>
    </w:tbl>
    <w:p w:rsidR="00A87191" w:rsidRDefault="00EE798A"/>
    <w:sectPr w:rsidR="00A87191" w:rsidSect="00192FEC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14"/>
    <w:rsid w:val="0003171F"/>
    <w:rsid w:val="00192FEC"/>
    <w:rsid w:val="001A6814"/>
    <w:rsid w:val="002A7450"/>
    <w:rsid w:val="00880B79"/>
    <w:rsid w:val="008C1DA2"/>
    <w:rsid w:val="00966D30"/>
    <w:rsid w:val="009D0B09"/>
    <w:rsid w:val="00A52441"/>
    <w:rsid w:val="00C80614"/>
    <w:rsid w:val="00DC6210"/>
    <w:rsid w:val="00E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Lechner Hans</dc:creator>
  <cp:lastModifiedBy>Lechner Hans</cp:lastModifiedBy>
  <cp:revision>2</cp:revision>
  <dcterms:created xsi:type="dcterms:W3CDTF">2019-06-28T14:12:00Z</dcterms:created>
  <dcterms:modified xsi:type="dcterms:W3CDTF">2019-06-28T14:32:00Z</dcterms:modified>
</cp:coreProperties>
</file>